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19" w:rsidRDefault="007F6C19" w:rsidP="008A3322">
      <w:pPr>
        <w:pStyle w:val="3"/>
        <w:rPr>
          <w:rFonts w:ascii="Arial" w:hAnsi="Arial" w:cs="Arial"/>
          <w:sz w:val="25"/>
          <w:szCs w:val="25"/>
        </w:rPr>
      </w:pPr>
    </w:p>
    <w:p w:rsidR="000E7EA3" w:rsidRDefault="007F6C19" w:rsidP="008A3322">
      <w:pPr>
        <w:pStyle w:val="3"/>
        <w:rPr>
          <w:rFonts w:ascii="Times New Roman" w:hAnsi="Times New Roman" w:cs="Times New Roman"/>
        </w:rPr>
      </w:pPr>
      <w:r>
        <w:rPr>
          <w:rFonts w:ascii="Arial" w:hAnsi="Arial" w:cs="Arial" w:hint="eastAsia"/>
          <w:sz w:val="25"/>
          <w:szCs w:val="25"/>
        </w:rPr>
        <w:t>Department of St</w:t>
      </w:r>
      <w:r w:rsidR="00C67C9B">
        <w:rPr>
          <w:rFonts w:ascii="Arial" w:hAnsi="Arial" w:cs="Arial" w:hint="eastAsia"/>
          <w:sz w:val="25"/>
          <w:szCs w:val="25"/>
        </w:rPr>
        <w:t>atistical and Actuarial Science</w:t>
      </w:r>
      <w:r w:rsidR="000E7EA3">
        <w:rPr>
          <w:rFonts w:ascii="Arial" w:hAnsi="Arial" w:cs="Arial" w:hint="eastAsia"/>
          <w:sz w:val="25"/>
          <w:szCs w:val="25"/>
        </w:rPr>
        <w:t>,</w:t>
      </w:r>
      <w:r w:rsidR="000E7EA3" w:rsidRPr="000E7EA3">
        <w:rPr>
          <w:rFonts w:ascii="Times New Roman" w:hAnsi="Times New Roman" w:cs="Times New Roman"/>
        </w:rPr>
        <w:t xml:space="preserve"> </w:t>
      </w:r>
    </w:p>
    <w:p w:rsidR="007F6C19" w:rsidRDefault="000E7EA3" w:rsidP="008A3322">
      <w:pPr>
        <w:pStyle w:val="3"/>
        <w:rPr>
          <w:rFonts w:ascii="Arial" w:hAnsi="Arial" w:cs="Arial"/>
          <w:sz w:val="25"/>
          <w:szCs w:val="25"/>
        </w:rPr>
      </w:pPr>
      <w:r w:rsidRPr="0028497D">
        <w:rPr>
          <w:rFonts w:ascii="Times New Roman" w:hAnsi="Times New Roman" w:cs="Times New Roman"/>
        </w:rPr>
        <w:t>University of Western Ontario</w:t>
      </w:r>
    </w:p>
    <w:p w:rsidR="0032568E" w:rsidRDefault="0032568E" w:rsidP="008A3322">
      <w:pPr>
        <w:pStyle w:val="3"/>
        <w:rPr>
          <w:rFonts w:ascii="Arial" w:hAnsi="Arial" w:cs="Arial"/>
          <w:sz w:val="25"/>
          <w:szCs w:val="25"/>
        </w:rPr>
      </w:pPr>
    </w:p>
    <w:p w:rsidR="008A3322" w:rsidRDefault="008A3322" w:rsidP="008A3322">
      <w:pPr>
        <w:pStyle w:val="3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Associate Professor</w:t>
      </w:r>
    </w:p>
    <w:tbl>
      <w:tblPr>
        <w:tblW w:w="5000" w:type="pct"/>
        <w:tblCellSpacing w:w="7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9"/>
      </w:tblGrid>
      <w:tr w:rsidR="008A3322">
        <w:trPr>
          <w:tblCellSpacing w:w="7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F2683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A3322" w:rsidRDefault="008A3322">
            <w:pPr>
              <w:rPr>
                <w:rFonts w:ascii="Arial" w:eastAsia="宋体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 xml:space="preserve">Dr. Jiandong Ren (Undergraduate Chair) </w:t>
            </w:r>
          </w:p>
        </w:tc>
      </w:tr>
    </w:tbl>
    <w:p w:rsidR="008A3322" w:rsidRDefault="008A3322" w:rsidP="008A3322">
      <w:pPr>
        <w:rPr>
          <w:rFonts w:ascii="Arial" w:hAnsi="Arial" w:cs="Arial"/>
          <w:vanish/>
          <w:color w:val="333333"/>
          <w:szCs w:val="21"/>
        </w:rPr>
      </w:pPr>
    </w:p>
    <w:tbl>
      <w:tblPr>
        <w:tblW w:w="5000" w:type="pct"/>
        <w:tblCellSpacing w:w="0" w:type="dxa"/>
        <w:tblCellMar>
          <w:left w:w="0" w:type="dxa"/>
          <w:bottom w:w="300" w:type="dxa"/>
          <w:right w:w="0" w:type="dxa"/>
        </w:tblCellMar>
        <w:tblLook w:val="04A0"/>
      </w:tblPr>
      <w:tblGrid>
        <w:gridCol w:w="2400"/>
        <w:gridCol w:w="5916"/>
      </w:tblGrid>
      <w:tr w:rsidR="008A3322">
        <w:trPr>
          <w:tblCellSpacing w:w="0" w:type="dxa"/>
        </w:trPr>
        <w:tc>
          <w:tcPr>
            <w:tcW w:w="240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3322" w:rsidRDefault="008A3322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noProof/>
                <w:color w:val="015B86"/>
                <w:szCs w:val="21"/>
              </w:rPr>
              <w:drawing>
                <wp:inline distT="0" distB="0" distL="0" distR="0">
                  <wp:extent cx="866775" cy="1333500"/>
                  <wp:effectExtent l="19050" t="0" r="9525" b="0"/>
                  <wp:docPr id="3" name="图片 3" descr="http://www.stats.uwo.ca/uploads/facultygrads/faculty/photos/thumbs/Ren20110708_4e1793b02d90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tats.uwo.ca/uploads/facultygrads/faculty/photos/thumbs/Ren20110708_4e1793b02d90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7"/>
              <w:gridCol w:w="4693"/>
            </w:tblGrid>
            <w:tr w:rsidR="008A3322">
              <w:trPr>
                <w:tblCellSpacing w:w="15" w:type="dxa"/>
              </w:trPr>
              <w:tc>
                <w:tcPr>
                  <w:tcW w:w="1000" w:type="pct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1"/>
                    </w:rPr>
                    <w:t>Office</w:t>
                  </w:r>
                </w:p>
              </w:tc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Cs w:val="21"/>
                    </w:rPr>
                    <w:t>WSC 219</w:t>
                  </w:r>
                </w:p>
              </w:tc>
            </w:tr>
            <w:tr w:rsidR="008A33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1"/>
                    </w:rPr>
                    <w:t>Phone</w:t>
                  </w:r>
                </w:p>
              </w:tc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Cs w:val="21"/>
                    </w:rPr>
                    <w:t>519-661-2111 ext 88209</w:t>
                  </w:r>
                </w:p>
              </w:tc>
            </w:tr>
            <w:tr w:rsidR="008A33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1"/>
                    </w:rPr>
                    <w:t>Email</w:t>
                  </w:r>
                </w:p>
              </w:tc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Cs w:val="21"/>
                    </w:rPr>
                    <w:t xml:space="preserve">jren@stats.uwo.ca </w:t>
                  </w:r>
                </w:p>
              </w:tc>
            </w:tr>
            <w:tr w:rsidR="008A33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1"/>
                    </w:rPr>
                    <w:t>Website</w:t>
                  </w:r>
                </w:p>
              </w:tc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8A3322" w:rsidRDefault="007D4EC5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hyperlink r:id="rId9" w:history="1">
                    <w:r w:rsidR="008A3322">
                      <w:rPr>
                        <w:rStyle w:val="a4"/>
                        <w:rFonts w:ascii="Arial" w:hAnsi="Arial" w:cs="Arial"/>
                        <w:szCs w:val="21"/>
                      </w:rPr>
                      <w:t>http://www.stats.uwo.ca/faculty/ren/default.htm</w:t>
                    </w:r>
                  </w:hyperlink>
                </w:p>
              </w:tc>
            </w:tr>
          </w:tbl>
          <w:p w:rsidR="008A3322" w:rsidRDefault="008A3322">
            <w:pPr>
              <w:rPr>
                <w:rFonts w:ascii="Arial" w:hAnsi="Arial" w:cs="Arial"/>
                <w:color w:val="333333"/>
                <w:szCs w:val="21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00"/>
            </w:tblGrid>
            <w:tr w:rsidR="008A33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Cs w:val="21"/>
                    </w:rPr>
                    <w:t xml:space="preserve">Ph.D. Temple University, 2003 </w:t>
                  </w:r>
                </w:p>
              </w:tc>
            </w:tr>
          </w:tbl>
          <w:p w:rsidR="008A3322" w:rsidRDefault="008A3322">
            <w:pPr>
              <w:rPr>
                <w:rFonts w:ascii="Arial" w:eastAsia="宋体" w:hAnsi="Arial" w:cs="Arial"/>
                <w:color w:val="333333"/>
                <w:szCs w:val="21"/>
              </w:rPr>
            </w:pPr>
          </w:p>
        </w:tc>
      </w:tr>
    </w:tbl>
    <w:p w:rsidR="008A3322" w:rsidRDefault="008A3322" w:rsidP="008A3322">
      <w:pPr>
        <w:shd w:val="clear" w:color="auto" w:fill="CCCCFF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 xml:space="preserve">Research Areas </w:t>
      </w:r>
    </w:p>
    <w:p w:rsidR="008A3322" w:rsidRDefault="008A3322" w:rsidP="008A3322">
      <w:pPr>
        <w:widowControl/>
        <w:numPr>
          <w:ilvl w:val="0"/>
          <w:numId w:val="2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Catastrophe insurance </w:t>
      </w:r>
    </w:p>
    <w:p w:rsidR="008A3322" w:rsidRDefault="008A3322" w:rsidP="008A3322">
      <w:pPr>
        <w:widowControl/>
        <w:numPr>
          <w:ilvl w:val="0"/>
          <w:numId w:val="2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Actuarial Science </w:t>
      </w:r>
    </w:p>
    <w:p w:rsidR="008A3322" w:rsidRDefault="008A3322" w:rsidP="008A3322">
      <w:pPr>
        <w:widowControl/>
        <w:numPr>
          <w:ilvl w:val="0"/>
          <w:numId w:val="2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Risk management </w:t>
      </w:r>
    </w:p>
    <w:p w:rsidR="008A3322" w:rsidRDefault="008A3322" w:rsidP="008A3322">
      <w:pPr>
        <w:rPr>
          <w:rFonts w:ascii="Arial" w:hAnsi="Arial" w:cs="Arial"/>
          <w:vanish/>
          <w:color w:val="333333"/>
          <w:szCs w:val="21"/>
        </w:rPr>
      </w:pPr>
    </w:p>
    <w:tbl>
      <w:tblPr>
        <w:tblW w:w="5000" w:type="pct"/>
        <w:tblCellSpacing w:w="7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4"/>
      </w:tblGrid>
      <w:tr w:rsidR="008A3322">
        <w:trPr>
          <w:tblCellSpacing w:w="7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CC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3322" w:rsidRPr="008A3322" w:rsidRDefault="008A3322">
            <w:pPr>
              <w:rPr>
                <w:rFonts w:ascii="Arial" w:eastAsia="宋体" w:hAnsi="Arial" w:cs="Arial"/>
                <w:b/>
                <w:color w:val="000000"/>
                <w:szCs w:val="21"/>
              </w:rPr>
            </w:pPr>
            <w:r w:rsidRPr="008A3322">
              <w:rPr>
                <w:rFonts w:ascii="Arial" w:hAnsi="Arial" w:cs="Arial"/>
                <w:b/>
                <w:color w:val="000000"/>
                <w:szCs w:val="21"/>
              </w:rPr>
              <w:t xml:space="preserve">Publications </w:t>
            </w:r>
          </w:p>
        </w:tc>
      </w:tr>
    </w:tbl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(2012). A multivariate aggregate loss model. </w:t>
      </w:r>
      <w:r>
        <w:rPr>
          <w:rStyle w:val="a5"/>
          <w:rFonts w:ascii="Arial" w:hAnsi="Arial" w:cs="Arial"/>
          <w:color w:val="333333"/>
          <w:szCs w:val="21"/>
        </w:rPr>
        <w:t xml:space="preserve">Insurance: Mathematics and Economics 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51</w:t>
      </w:r>
      <w:r>
        <w:rPr>
          <w:rFonts w:ascii="Arial" w:hAnsi="Arial" w:cs="Arial"/>
          <w:color w:val="333333"/>
          <w:szCs w:val="21"/>
        </w:rPr>
        <w:t xml:space="preserve"> 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(2011). Value at Risk and ruin probability. </w:t>
      </w:r>
      <w:r>
        <w:rPr>
          <w:rStyle w:val="a5"/>
          <w:rFonts w:ascii="Arial" w:hAnsi="Arial" w:cs="Arial"/>
          <w:color w:val="333333"/>
          <w:szCs w:val="21"/>
        </w:rPr>
        <w:t>The Journal of Risk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14</w:t>
      </w:r>
      <w:r>
        <w:rPr>
          <w:rFonts w:ascii="Arial" w:hAnsi="Arial" w:cs="Arial"/>
          <w:color w:val="333333"/>
          <w:szCs w:val="21"/>
        </w:rPr>
        <w:t xml:space="preserve"> 53-62.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(2010). Assessment of Seismic Loss Dependence Using Copula. </w:t>
      </w:r>
      <w:r>
        <w:rPr>
          <w:rStyle w:val="a5"/>
          <w:rFonts w:ascii="Arial" w:hAnsi="Arial" w:cs="Arial"/>
          <w:color w:val="333333"/>
          <w:szCs w:val="21"/>
        </w:rPr>
        <w:t>Risk Analysis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30</w:t>
      </w:r>
      <w:r>
        <w:rPr>
          <w:rFonts w:ascii="Arial" w:hAnsi="Arial" w:cs="Arial"/>
          <w:color w:val="333333"/>
          <w:szCs w:val="21"/>
        </w:rPr>
        <w:t xml:space="preserve"> 1076-1091.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Goda, K. and Ren, J. (2010). Assessment of Seismic Loss Dependence Using Copula. </w:t>
      </w:r>
      <w:r>
        <w:rPr>
          <w:rStyle w:val="a5"/>
          <w:rFonts w:ascii="Arial" w:hAnsi="Arial" w:cs="Arial"/>
          <w:color w:val="333333"/>
          <w:szCs w:val="21"/>
        </w:rPr>
        <w:t>Risk Analysis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30</w:t>
      </w:r>
      <w:r>
        <w:rPr>
          <w:rFonts w:ascii="Arial" w:hAnsi="Arial" w:cs="Arial"/>
          <w:color w:val="333333"/>
          <w:szCs w:val="21"/>
        </w:rPr>
        <w:t xml:space="preserve"> 1076-1091.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(2010). An Approximation to the Distribution and the Moments of the Number of Events in Markovian Arrival Processes. </w:t>
      </w:r>
      <w:r>
        <w:rPr>
          <w:rStyle w:val="a5"/>
          <w:rFonts w:ascii="Arial" w:hAnsi="Arial" w:cs="Arial"/>
          <w:color w:val="333333"/>
          <w:szCs w:val="21"/>
        </w:rPr>
        <w:t>Stochastic Models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26</w:t>
      </w:r>
      <w:r>
        <w:rPr>
          <w:rFonts w:ascii="Arial" w:hAnsi="Arial" w:cs="Arial"/>
          <w:color w:val="333333"/>
          <w:szCs w:val="21"/>
        </w:rPr>
        <w:t xml:space="preserve"> 487-504.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Jin, T.* and Ren, J. (2010). Recursions and Fast Fourier Transforms for Certain Bivariate Compound Distributions. </w:t>
      </w:r>
      <w:r>
        <w:rPr>
          <w:rStyle w:val="a5"/>
          <w:rFonts w:ascii="Arial" w:hAnsi="Arial" w:cs="Arial"/>
          <w:color w:val="333333"/>
          <w:szCs w:val="21"/>
        </w:rPr>
        <w:t>The Journal of Operational Risk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5</w:t>
      </w:r>
      <w:r>
        <w:rPr>
          <w:rFonts w:ascii="Arial" w:hAnsi="Arial" w:cs="Arial"/>
          <w:color w:val="333333"/>
          <w:szCs w:val="21"/>
        </w:rPr>
        <w:t xml:space="preserve"> 19-33.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Yu, K.*, Stanford, D. and Ren, J. (2010). The Moments of the Time of Ruin in Markovian Risk Models.. </w:t>
      </w:r>
      <w:r>
        <w:rPr>
          <w:rStyle w:val="a5"/>
          <w:rFonts w:ascii="Arial" w:hAnsi="Arial" w:cs="Arial"/>
          <w:color w:val="333333"/>
          <w:szCs w:val="21"/>
        </w:rPr>
        <w:t xml:space="preserve">North American Actuarial Journal 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14</w:t>
      </w:r>
      <w:r>
        <w:rPr>
          <w:rFonts w:ascii="Arial" w:hAnsi="Arial" w:cs="Arial"/>
          <w:color w:val="333333"/>
          <w:szCs w:val="21"/>
        </w:rPr>
        <w:t xml:space="preserve"> 464–471.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(2010). Recursive formulas for compound phase distributions–univariate and bivariate cases. </w:t>
      </w:r>
      <w:r>
        <w:rPr>
          <w:rStyle w:val="a5"/>
          <w:rFonts w:ascii="Arial" w:hAnsi="Arial" w:cs="Arial"/>
          <w:color w:val="333333"/>
          <w:szCs w:val="21"/>
        </w:rPr>
        <w:t>Astin Bulletin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40</w:t>
      </w:r>
      <w:r>
        <w:rPr>
          <w:rFonts w:ascii="Arial" w:hAnsi="Arial" w:cs="Arial"/>
          <w:color w:val="333333"/>
          <w:szCs w:val="21"/>
        </w:rPr>
        <w:t xml:space="preserve"> 615-629.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(2009). A connection between the discounted and non-discounted expected penalty functions in the Sparre Andersen risk model. </w:t>
      </w:r>
      <w:r>
        <w:rPr>
          <w:rStyle w:val="a5"/>
          <w:rFonts w:ascii="Arial" w:hAnsi="Arial" w:cs="Arial"/>
          <w:color w:val="333333"/>
          <w:szCs w:val="21"/>
        </w:rPr>
        <w:t>Statistics and Probability Letters</w:t>
      </w:r>
      <w:r>
        <w:rPr>
          <w:rFonts w:ascii="Arial" w:hAnsi="Arial" w:cs="Arial"/>
          <w:color w:val="333333"/>
          <w:szCs w:val="21"/>
        </w:rPr>
        <w:t xml:space="preserve">, 324-330.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J., Breuer, L., Stanford, D. and Yu, K.* (2009). Perturbed risk processes analyzed as fluid flows. </w:t>
      </w:r>
      <w:r>
        <w:rPr>
          <w:rStyle w:val="a5"/>
          <w:rFonts w:ascii="Arial" w:hAnsi="Arial" w:cs="Arial"/>
          <w:color w:val="333333"/>
          <w:szCs w:val="21"/>
        </w:rPr>
        <w:t>Stochastic Models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25</w:t>
      </w:r>
      <w:r>
        <w:rPr>
          <w:rFonts w:ascii="Arial" w:hAnsi="Arial" w:cs="Arial"/>
          <w:color w:val="333333"/>
          <w:szCs w:val="21"/>
        </w:rPr>
        <w:t xml:space="preserve"> 522-544.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lastRenderedPageBreak/>
        <w:t xml:space="preserve">Ren, J. (2008). On the Laplace transform of the aggregate discounted c laims with Markovian arrivals. </w:t>
      </w:r>
      <w:r>
        <w:rPr>
          <w:rStyle w:val="a5"/>
          <w:rFonts w:ascii="Arial" w:hAnsi="Arial" w:cs="Arial"/>
          <w:color w:val="333333"/>
          <w:szCs w:val="21"/>
        </w:rPr>
        <w:t xml:space="preserve">North American Actuarial Journal 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12(2)</w:t>
      </w:r>
      <w:r>
        <w:rPr>
          <w:rFonts w:ascii="Arial" w:hAnsi="Arial" w:cs="Arial"/>
          <w:color w:val="333333"/>
          <w:szCs w:val="21"/>
        </w:rPr>
        <w:t xml:space="preserve"> 198-207.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(2008). Author’s Reply to Discussions, April 2008 ”The Discounted Joint Distribution of the Surplus Prior to Ruin and the Deficit at Ruin in a Sparre Andersen Model,”. </w:t>
      </w:r>
      <w:r>
        <w:rPr>
          <w:rStyle w:val="a5"/>
          <w:rFonts w:ascii="Arial" w:hAnsi="Arial" w:cs="Arial"/>
          <w:color w:val="333333"/>
          <w:szCs w:val="21"/>
        </w:rPr>
        <w:t xml:space="preserve">North American Actuarial Journal </w:t>
      </w:r>
      <w:r>
        <w:rPr>
          <w:rFonts w:ascii="Arial" w:hAnsi="Arial" w:cs="Arial"/>
          <w:color w:val="333333"/>
          <w:szCs w:val="21"/>
        </w:rPr>
        <w:t xml:space="preserve">, 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(2007). The joint distribution of the surplus prior to ruin and the deficit at ruin in a Sparre Andersen model. </w:t>
      </w:r>
      <w:r>
        <w:rPr>
          <w:rStyle w:val="a5"/>
          <w:rFonts w:ascii="Arial" w:hAnsi="Arial" w:cs="Arial"/>
          <w:color w:val="333333"/>
          <w:szCs w:val="21"/>
        </w:rPr>
        <w:t xml:space="preserve">North American Actuarial Journal 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11(3)</w:t>
      </w:r>
      <w:r>
        <w:rPr>
          <w:rFonts w:ascii="Arial" w:hAnsi="Arial" w:cs="Arial"/>
          <w:color w:val="333333"/>
          <w:szCs w:val="21"/>
        </w:rPr>
        <w:t xml:space="preserve"> 128-136.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(2007). On the surplus prior to ruin in the perturbed classical risk process. </w:t>
      </w:r>
      <w:r>
        <w:rPr>
          <w:rStyle w:val="a5"/>
          <w:rFonts w:ascii="Arial" w:hAnsi="Arial" w:cs="Arial"/>
          <w:color w:val="333333"/>
          <w:szCs w:val="21"/>
        </w:rPr>
        <w:t xml:space="preserve">Journal of Risk Finance 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8(2)</w:t>
      </w:r>
      <w:r>
        <w:rPr>
          <w:rFonts w:ascii="Arial" w:hAnsi="Arial" w:cs="Arial"/>
          <w:color w:val="333333"/>
          <w:szCs w:val="21"/>
        </w:rPr>
        <w:t xml:space="preserve"> 186-195.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(2005). Diffusion models of insurer net worth: Can one dimension suffice?. </w:t>
      </w:r>
      <w:r>
        <w:rPr>
          <w:rStyle w:val="a5"/>
          <w:rFonts w:ascii="Arial" w:hAnsi="Arial" w:cs="Arial"/>
          <w:color w:val="333333"/>
          <w:szCs w:val="21"/>
        </w:rPr>
        <w:t xml:space="preserve">Journal of Risk Finance 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6(2)</w:t>
      </w:r>
      <w:r>
        <w:rPr>
          <w:rFonts w:ascii="Arial" w:hAnsi="Arial" w:cs="Arial"/>
          <w:color w:val="333333"/>
          <w:szCs w:val="21"/>
        </w:rPr>
        <w:t xml:space="preserve"> 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(2005). The expected value of the time of ruin and the moments of the discounted deficit at ruin in the perturbed classical risk process. </w:t>
      </w:r>
      <w:r>
        <w:rPr>
          <w:rStyle w:val="a5"/>
          <w:rFonts w:ascii="Arial" w:hAnsi="Arial" w:cs="Arial"/>
          <w:color w:val="333333"/>
          <w:szCs w:val="21"/>
        </w:rPr>
        <w:t xml:space="preserve">Insurance: Mathematics and Economics 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37</w:t>
      </w:r>
      <w:r>
        <w:rPr>
          <w:rFonts w:ascii="Arial" w:hAnsi="Arial" w:cs="Arial"/>
          <w:color w:val="333333"/>
          <w:szCs w:val="21"/>
        </w:rPr>
        <w:t xml:space="preserve"> 505-521. </w:t>
      </w:r>
    </w:p>
    <w:p w:rsidR="00603DFD" w:rsidRDefault="00603DFD"/>
    <w:p w:rsidR="008A3322" w:rsidRDefault="008A3322"/>
    <w:p w:rsidR="008A3322" w:rsidRDefault="008A3322"/>
    <w:p w:rsidR="008A3322" w:rsidRDefault="008A3322"/>
    <w:sectPr w:rsidR="008A3322" w:rsidSect="0008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968" w:rsidRDefault="00A56968" w:rsidP="000E7EA3">
      <w:r>
        <w:separator/>
      </w:r>
    </w:p>
  </w:endnote>
  <w:endnote w:type="continuationSeparator" w:id="1">
    <w:p w:rsidR="00A56968" w:rsidRDefault="00A56968" w:rsidP="000E7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968" w:rsidRDefault="00A56968" w:rsidP="000E7EA3">
      <w:r>
        <w:separator/>
      </w:r>
    </w:p>
  </w:footnote>
  <w:footnote w:type="continuationSeparator" w:id="1">
    <w:p w:rsidR="00A56968" w:rsidRDefault="00A56968" w:rsidP="000E7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408"/>
    <w:multiLevelType w:val="multilevel"/>
    <w:tmpl w:val="094E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A245C1"/>
    <w:multiLevelType w:val="multilevel"/>
    <w:tmpl w:val="894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DFD"/>
    <w:rsid w:val="00064414"/>
    <w:rsid w:val="00081CB0"/>
    <w:rsid w:val="000E7EA3"/>
    <w:rsid w:val="000F2925"/>
    <w:rsid w:val="0032568E"/>
    <w:rsid w:val="003837C0"/>
    <w:rsid w:val="0040055A"/>
    <w:rsid w:val="00603DFD"/>
    <w:rsid w:val="007A30AC"/>
    <w:rsid w:val="007D4EC5"/>
    <w:rsid w:val="007F6C19"/>
    <w:rsid w:val="00864607"/>
    <w:rsid w:val="008A3322"/>
    <w:rsid w:val="00A56968"/>
    <w:rsid w:val="00BD1CAB"/>
    <w:rsid w:val="00C6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B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A3322"/>
    <w:pPr>
      <w:widowControl/>
      <w:spacing w:line="336" w:lineRule="atLeast"/>
      <w:jc w:val="left"/>
      <w:outlineLvl w:val="2"/>
    </w:pPr>
    <w:rPr>
      <w:rFonts w:ascii="宋体" w:eastAsia="宋体" w:hAnsi="宋体" w:cs="宋体"/>
      <w:b/>
      <w:bCs/>
      <w:color w:val="000000"/>
      <w:spacing w:val="5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3DFD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8A3322"/>
    <w:rPr>
      <w:rFonts w:ascii="宋体" w:eastAsia="宋体" w:hAnsi="宋体" w:cs="宋体"/>
      <w:b/>
      <w:bCs/>
      <w:color w:val="000000"/>
      <w:spacing w:val="5"/>
      <w:kern w:val="0"/>
      <w:sz w:val="29"/>
      <w:szCs w:val="29"/>
    </w:rPr>
  </w:style>
  <w:style w:type="character" w:styleId="a5">
    <w:name w:val="Emphasis"/>
    <w:basedOn w:val="a0"/>
    <w:uiPriority w:val="20"/>
    <w:qFormat/>
    <w:rsid w:val="008A3322"/>
    <w:rPr>
      <w:i/>
      <w:iCs/>
    </w:rPr>
  </w:style>
  <w:style w:type="character" w:styleId="a6">
    <w:name w:val="Strong"/>
    <w:basedOn w:val="a0"/>
    <w:uiPriority w:val="22"/>
    <w:qFormat/>
    <w:rsid w:val="008A3322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8A3322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A3322"/>
    <w:rPr>
      <w:sz w:val="18"/>
      <w:szCs w:val="18"/>
    </w:rPr>
  </w:style>
  <w:style w:type="character" w:customStyle="1" w:styleId="st1">
    <w:name w:val="st1"/>
    <w:basedOn w:val="a0"/>
    <w:rsid w:val="007A30AC"/>
  </w:style>
  <w:style w:type="paragraph" w:styleId="a8">
    <w:name w:val="header"/>
    <w:basedOn w:val="a"/>
    <w:link w:val="Char0"/>
    <w:uiPriority w:val="99"/>
    <w:semiHidden/>
    <w:unhideWhenUsed/>
    <w:rsid w:val="000E7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0E7EA3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0E7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0E7E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16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9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tats.uwo.ca/uploads/facultygrads/faculty/photos/Ren20110708_4e1793b02d90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ts.uwo.ca/faculty/ren/default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9</cp:revision>
  <dcterms:created xsi:type="dcterms:W3CDTF">2013-06-06T13:36:00Z</dcterms:created>
  <dcterms:modified xsi:type="dcterms:W3CDTF">2013-06-08T06:27:00Z</dcterms:modified>
</cp:coreProperties>
</file>